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3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/>
      </w:tblPr>
      <w:tblGrid>
        <w:gridCol w:w="5660"/>
        <w:gridCol w:w="5510"/>
        <w:gridCol w:w="5103"/>
      </w:tblGrid>
      <w:tr w:rsidR="00DF16DD" w:rsidRPr="00D66151" w:rsidTr="00027C8D">
        <w:trPr>
          <w:trHeight w:val="2551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9F0582" w:rsidRDefault="005969C8" w:rsidP="00712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5969C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oundrect id="Скругленный прямоугольник 10" o:spid="_x0000_s1075" style="position:absolute;left:0;text-align:left;margin-left:281.7pt;margin-top:401.6pt;width:243.75pt;height:144.75pt;z-index:251687936;visibility:visible;mso-position-horizontal-relative:text;mso-position-vertical-relative:text;mso-width-relative:margin;mso-height-relative:margin;v-text-anchor:middle" arcsize="10923f" fillcolor="#548dd4 [1951]" strokecolor="#243f60 [1604]" strokeweight="2pt">
                  <v:fill color2="#32547f"/>
                  <v:textbox style="mso-next-textbox:#Скругленный прямоугольник 10">
                    <w:txbxContent>
                      <w:p w:rsidR="007E4AB6" w:rsidRPr="00063EC1" w:rsidRDefault="007E4AB6" w:rsidP="007E4AB6">
                        <w:pPr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63EC1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Адрес Управления РОспотребнадзора по Республике Башкортостан:</w:t>
                        </w:r>
                        <w:r w:rsidRPr="00063EC1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 </w:t>
                        </w:r>
                      </w:p>
                      <w:p w:rsidR="00063EC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63EC1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450054,</w:t>
                        </w:r>
                        <w:r w:rsidR="00EA7254" w:rsidRPr="00063EC1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г. Уфа,</w:t>
                        </w:r>
                      </w:p>
                      <w:p w:rsidR="007E4AB6" w:rsidRPr="00063EC1" w:rsidRDefault="00EA7254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63EC1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ул. Рихарда </w:t>
                        </w:r>
                        <w:r w:rsidR="007E4AB6" w:rsidRPr="00063EC1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Зорге, д.58</w:t>
                        </w:r>
                      </w:p>
                      <w:p w:rsidR="007E4AB6" w:rsidRPr="00063EC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  <w:r w:rsidRPr="005969C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74" style="position:absolute;left:0;text-align:left;margin-left:281.7pt;margin-top:21.35pt;width:253.5pt;height:345.75pt;z-index:251686912;mso-position-horizontal-relative:text;mso-position-vertical-relative:text" fillcolor="#c6d9f1 [671]" strokecolor="#0070c0" strokeweight="1.5pt">
                  <v:fill color2="fill lighten(51)" angle="-135" focusposition=".5,.5" focussize="" method="linear sigma" type="gradient"/>
                  <o:extrusion v:ext="view" backdepth="1in" on="t" viewpoint="0,34.72222mm" viewpointorigin="0,.5" skewangle="90" lightposition="-50000" lightposition2="50000" type="perspective"/>
                  <v:textbox style="mso-next-textbox:#_x0000_s1074">
                    <w:txbxContent>
                      <w:p w:rsidR="00CF7306" w:rsidRPr="00372558" w:rsidRDefault="0062303F" w:rsidP="006230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  <w:r w:rsidRPr="00372558">
                          <w:rPr>
                            <w:rFonts w:ascii="Arial" w:eastAsia="MS Mincho" w:hAnsi="MS Mincho" w:cs="Aharoni"/>
                            <w:b/>
                            <w:bCs/>
                            <w:color w:val="C00000"/>
                            <w:sz w:val="40"/>
                            <w:szCs w:val="40"/>
                          </w:rPr>
                          <w:t>☎</w:t>
                        </w:r>
                        <w:r w:rsidRPr="00372558">
                          <w:rPr>
                            <w:rFonts w:ascii="Arial" w:hAnsi="Arial" w:cs="Aharoni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="00372558" w:rsidRPr="00372558">
                          <w:rPr>
                            <w:rFonts w:ascii="Cambria Math" w:eastAsia="Gulim" w:hAnsi="Cambria Math" w:cs="Aharoni"/>
                            <w:b/>
                            <w:bCs/>
                            <w:color w:val="C00000"/>
                          </w:rPr>
                          <w:t xml:space="preserve">КОНСУЛЬТИРОВАНИЕ </w:t>
                        </w:r>
                        <w:r w:rsidR="00372558"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>ГРАЖДАН, ЮРИДИЧЕСКИХ ЛИЦ И ИНДИВИДУАЛЬНЫХ ПРЕДПРИНИМАТЕЛЕЙ ПРОВОДИТСЯ ПО БЕСПЛАТНЫМ ТЕЛЕФОНАМ:</w:t>
                        </w:r>
                      </w:p>
                      <w:p w:rsidR="00CF7306" w:rsidRPr="00372558" w:rsidRDefault="00372558" w:rsidP="00372558">
                        <w:pPr>
                          <w:pStyle w:val="a3"/>
                          <w:numPr>
                            <w:ilvl w:val="0"/>
                            <w:numId w:val="26"/>
                          </w:numPr>
                          <w:tabs>
                            <w:tab w:val="left" w:pos="426"/>
                          </w:tabs>
                          <w:autoSpaceDE w:val="0"/>
                          <w:autoSpaceDN w:val="0"/>
                          <w:adjustRightInd w:val="0"/>
                          <w:spacing w:before="120"/>
                          <w:ind w:left="0" w:firstLine="0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ЕДИНОГО КОНСУЛЬТАЦИОННОГО ЦЕНТРА РОСПОТРЕБНАДЗОРА </w:t>
                        </w:r>
                      </w:p>
                      <w:p w:rsidR="00CF7306" w:rsidRPr="00372558" w:rsidRDefault="00372558" w:rsidP="00372558">
                        <w:pPr>
                          <w:pStyle w:val="a3"/>
                          <w:autoSpaceDE w:val="0"/>
                          <w:autoSpaceDN w:val="0"/>
                          <w:adjustRightInd w:val="0"/>
                          <w:spacing w:before="120"/>
                          <w:ind w:left="1416"/>
                          <w:jc w:val="center"/>
                          <w:rPr>
                            <w:rFonts w:ascii="Cambria Math" w:eastAsia="Gulim" w:hAnsi="Cambria Math" w:cs="Aharoni"/>
                            <w:bCs/>
                            <w:color w:val="00206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mbria Math" w:eastAsia="Gulim" w:hAnsi="Cambria Math" w:cs="Aharoni"/>
                            <w:bCs/>
                            <w:color w:val="C00000"/>
                            <w:sz w:val="26"/>
                            <w:szCs w:val="26"/>
                          </w:rPr>
                          <w:t xml:space="preserve">  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C00000"/>
                            <w:sz w:val="26"/>
                            <w:szCs w:val="26"/>
                          </w:rPr>
                          <w:t>8 800 555 49 43</w:t>
                        </w:r>
                      </w:p>
                      <w:p w:rsidR="00CF7306" w:rsidRPr="00372558" w:rsidRDefault="00372558" w:rsidP="00CF7306">
                        <w:pPr>
                          <w:pStyle w:val="a3"/>
                          <w:numPr>
                            <w:ilvl w:val="0"/>
                            <w:numId w:val="26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  <w:sz w:val="26"/>
                            <w:szCs w:val="26"/>
                          </w:rPr>
                        </w:pP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ГОРЯЧЕЙ ЛИНИИ УПРАВЛЕНИЯ РОСПОТРЕБНАДЗОРА ПО РЕСПУБЛИКЕ БАШКОРТОСТАН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C00000"/>
                            <w:sz w:val="26"/>
                            <w:szCs w:val="26"/>
                          </w:rPr>
                          <w:t>8 800 700 90 30</w:t>
                        </w:r>
                      </w:p>
                      <w:p w:rsidR="00372558" w:rsidRDefault="00372558" w:rsidP="00372558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C00000"/>
                          </w:rPr>
                          <w:t>В РАБОЧИЕ ДНИ С 10-00 ДО 16-00 ЧАСОВ</w:t>
                        </w:r>
                        <w:r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 МЕСТНОГО ВРЕМЕНИ,</w:t>
                        </w:r>
                      </w:p>
                      <w:p w:rsidR="00DF16DD" w:rsidRPr="00372558" w:rsidRDefault="00372558" w:rsidP="0037255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C00000"/>
                          </w:rPr>
                          <w:t>ПЕРЕРЫВ С 12-00 ДО 12-45 ЧАСОВ</w:t>
                        </w:r>
                      </w:p>
                      <w:p w:rsidR="00372558" w:rsidRDefault="00372558" w:rsidP="003725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</w:p>
                      <w:p w:rsidR="00CF7306" w:rsidRPr="00372558" w:rsidRDefault="00372558" w:rsidP="005733E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</w:pPr>
                        <w:r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>И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НФОРМАЦИЮ </w:t>
                        </w:r>
                        <w:r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О ПРЕДОСТАВЛЕНИИ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  <w:spacing w:val="-16"/>
                          </w:rPr>
                          <w:t>ГОСУДАРСТВЕННЫХ </w:t>
                        </w:r>
                        <w:r w:rsidR="005733E3">
                          <w:rPr>
                            <w:rFonts w:ascii="Cambria Math" w:eastAsia="Gulim" w:hAnsi="Cambria Math" w:cs="Aharoni"/>
                            <w:bCs/>
                            <w:color w:val="002060"/>
                            <w:spacing w:val="-16"/>
                          </w:rPr>
                          <w:t xml:space="preserve">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  <w:spacing w:val="-16"/>
                          </w:rPr>
                          <w:t>УСЛУГ РОСПОТРЕБНАДЗОРА</w:t>
                        </w:r>
                        <w:r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МОЖНО ПОЛУЧИТЬ НА </w:t>
                        </w:r>
                        <w:r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ОФИЦИАЛЬНОМ </w:t>
                        </w:r>
                        <w:r w:rsidRPr="00372558">
                          <w:rPr>
                            <w:rFonts w:ascii="Cambria Math" w:eastAsia="Gulim" w:hAnsi="Cambria Math" w:cs="Aharoni"/>
                            <w:bCs/>
                            <w:color w:val="002060"/>
                          </w:rPr>
                          <w:t xml:space="preserve">САЙТЕ УПРАВЛЕНИЯ РОСПОТРЕБНАДЗОРА ПО РЕСПУБЛИКЕ БАШКОРТОСТАН </w:t>
                        </w:r>
                      </w:p>
                      <w:p w:rsidR="00CF7306" w:rsidRPr="00372558" w:rsidRDefault="005969C8" w:rsidP="00063EC1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color w:val="002060"/>
                            <w:sz w:val="28"/>
                            <w:szCs w:val="24"/>
                          </w:rPr>
                        </w:pPr>
                        <w:hyperlink r:id="rId8" w:history="1">
                          <w:r w:rsidR="00372558" w:rsidRPr="00372558">
                            <w:rPr>
                              <w:rStyle w:val="ae"/>
                              <w:rFonts w:ascii="Arial" w:hAnsi="Arial" w:cs="Arial"/>
                              <w:sz w:val="28"/>
                              <w:szCs w:val="24"/>
                            </w:rPr>
                            <w:t>http://02.rospotrebnadzor.ru/</w:t>
                          </w:r>
                        </w:hyperlink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</w:rPr>
              <w:pict>
                <v:rect id="_x0000_s1073" style="position:absolute;left:0;text-align:left;margin-left:5.4pt;margin-top:21.35pt;width:259.35pt;height:539.25pt;z-index:251684864;mso-position-horizontal-relative:text;mso-position-vertical-relative:text" stroked="f">
                  <v:textbox style="mso-next-textbox:#_x0000_s1073">
                    <w:txbxContent>
                      <w:p w:rsidR="00083590" w:rsidRDefault="00712F6C" w:rsidP="00027C8D">
                        <w:pPr>
                          <w:spacing w:after="120"/>
                          <w:ind w:left="-142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Выдача, переоформление</w:t>
                        </w:r>
                        <w:r w:rsidRPr="008766F5">
                          <w:rPr>
                            <w:rFonts w:ascii="Arial" w:hAnsi="Arial" w:cs="Arial"/>
                          </w:rPr>
                          <w:t xml:space="preserve"> лицензий на  </w:t>
                        </w:r>
                        <w:r>
                          <w:rPr>
                            <w:rFonts w:ascii="Arial" w:hAnsi="Arial" w:cs="Arial"/>
                          </w:rPr>
                          <w:t xml:space="preserve">указанные </w:t>
                        </w:r>
                        <w:r w:rsidRPr="008766F5">
                          <w:rPr>
                            <w:rFonts w:ascii="Arial" w:hAnsi="Arial" w:cs="Arial"/>
                          </w:rPr>
                          <w:t xml:space="preserve">виды деятельности осуществляется в соответствии с требованиями </w:t>
                        </w:r>
                        <w:r w:rsidR="0062303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766F5">
                          <w:rPr>
                            <w:rFonts w:ascii="Arial" w:hAnsi="Arial" w:cs="Arial"/>
                          </w:rPr>
                          <w:t>Федерального закона от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712F6C">
                          <w:rPr>
                            <w:rFonts w:ascii="Arial" w:hAnsi="Arial" w:cs="Arial"/>
                          </w:rPr>
                          <w:t>04.05.2011</w:t>
                        </w:r>
                        <w:r w:rsidR="0062303F">
                          <w:rPr>
                            <w:rFonts w:ascii="Arial" w:hAnsi="Arial" w:cs="Arial"/>
                          </w:rPr>
                          <w:t> </w:t>
                        </w:r>
                        <w:r w:rsidRPr="00712F6C">
                          <w:rPr>
                            <w:rFonts w:ascii="Arial" w:hAnsi="Arial" w:cs="Arial"/>
                          </w:rPr>
                          <w:t>г.</w:t>
                        </w:r>
                        <w:r w:rsidR="0062303F">
                          <w:rPr>
                            <w:rFonts w:ascii="Arial" w:hAnsi="Arial" w:cs="Arial"/>
                          </w:rPr>
                          <w:t> № </w:t>
                        </w:r>
                        <w:r w:rsidRPr="00712F6C">
                          <w:rPr>
                            <w:rFonts w:ascii="Arial" w:hAnsi="Arial" w:cs="Arial"/>
                          </w:rPr>
                          <w:t>99-ФЗ «О лицензировании</w:t>
                        </w:r>
                        <w:r w:rsidRPr="00C0734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A7254" w:rsidRPr="00C07340">
                          <w:rPr>
                            <w:rFonts w:ascii="Arial" w:hAnsi="Arial" w:cs="Arial"/>
                          </w:rPr>
                          <w:t xml:space="preserve">отдельных видов деятельности», </w:t>
                        </w:r>
                        <w:r w:rsidR="00EA7254" w:rsidRPr="00027C8D">
                          <w:rPr>
                            <w:rFonts w:ascii="Arial" w:hAnsi="Arial" w:cs="Arial"/>
                            <w:spacing w:val="-16"/>
                          </w:rPr>
                          <w:t>постановлениями Правительства Российской Федерации</w:t>
                        </w:r>
                        <w:r w:rsidR="00EA7254" w:rsidRPr="00C07340">
                          <w:rPr>
                            <w:rFonts w:ascii="Arial" w:hAnsi="Arial" w:cs="Arial"/>
                          </w:rPr>
                          <w:t xml:space="preserve"> от 02.04.2012 г. № 278 «О лицензировании деятельности в области использо</w:t>
                        </w:r>
                        <w:r w:rsidR="00027C8D">
                          <w:rPr>
                            <w:rFonts w:ascii="Arial" w:hAnsi="Arial" w:cs="Arial"/>
                          </w:rPr>
                          <w:t>вания  источников  </w:t>
                        </w:r>
                        <w:r w:rsidR="0062303F">
                          <w:rPr>
                            <w:rFonts w:ascii="Arial" w:hAnsi="Arial" w:cs="Arial"/>
                          </w:rPr>
                          <w:t>ионизирующего </w:t>
                        </w:r>
                        <w:r w:rsidR="00027C8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62303F">
                          <w:rPr>
                            <w:rFonts w:ascii="Arial" w:hAnsi="Arial" w:cs="Arial"/>
                          </w:rPr>
                          <w:t>излучения </w:t>
                        </w:r>
                        <w:r w:rsidR="0062303F" w:rsidRPr="0062303F">
                          <w:rPr>
                            <w:rFonts w:ascii="Arial" w:hAnsi="Arial" w:cs="Arial"/>
                            <w:spacing w:val="-16"/>
                          </w:rPr>
                          <w:t>(генерирующих</w:t>
                        </w:r>
                        <w:r w:rsidR="00EA7254" w:rsidRPr="0062303F">
                          <w:rPr>
                            <w:rFonts w:ascii="Arial" w:hAnsi="Arial" w:cs="Arial"/>
                            <w:spacing w:val="-16"/>
                          </w:rPr>
                          <w:t>)</w:t>
                        </w:r>
                        <w:r w:rsidR="00EA7254" w:rsidRPr="00C07340">
                          <w:rPr>
                            <w:rFonts w:ascii="Arial" w:hAnsi="Arial" w:cs="Arial"/>
                          </w:rPr>
                          <w:t xml:space="preserve"> (за исключением случая, если эти источники используются для медицинской деятельности)» и от 16.04.2012 г. № 317</w:t>
                        </w:r>
                        <w:r w:rsidR="00027C8D">
                          <w:rPr>
                            <w:rFonts w:ascii="Arial" w:hAnsi="Arial" w:cs="Arial"/>
                          </w:rPr>
                          <w:t xml:space="preserve"> «О </w:t>
                        </w:r>
                        <w:r w:rsidR="009D12F3" w:rsidRPr="00C07340">
                          <w:rPr>
                            <w:rFonts w:ascii="Arial" w:hAnsi="Arial" w:cs="Arial"/>
                          </w:rPr>
                          <w:t>лицензировании деятельности в</w:t>
                        </w:r>
                        <w:proofErr w:type="gramEnd"/>
                        <w:r w:rsidR="009D12F3" w:rsidRPr="00C07340"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E3605E" w:rsidRPr="00C07340">
                          <w:rPr>
                            <w:rFonts w:ascii="Arial" w:hAnsi="Arial" w:cs="Arial"/>
                          </w:rPr>
                          <w:t xml:space="preserve">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            </w:r>
                        <w:r w:rsidR="00E3605E" w:rsidRPr="00712F6C">
                          <w:rPr>
                            <w:rFonts w:ascii="Arial" w:hAnsi="Arial" w:cs="Arial"/>
                          </w:rPr>
                          <w:t>г</w:t>
                        </w:r>
                        <w:r w:rsidR="00C07340" w:rsidRPr="00712F6C">
                          <w:rPr>
                            <w:rFonts w:ascii="Arial" w:hAnsi="Arial" w:cs="Arial"/>
                          </w:rPr>
                          <w:t xml:space="preserve">енно-инженерно-модифицированных </w:t>
                        </w:r>
                        <w:r w:rsidR="00E3605E" w:rsidRPr="00712F6C">
                          <w:rPr>
                            <w:rFonts w:ascii="Arial" w:hAnsi="Arial" w:cs="Arial"/>
                          </w:rPr>
                          <w:t>организмов III и IV степеней</w:t>
                        </w:r>
                        <w:r w:rsidR="00E3605E" w:rsidRPr="00C07340">
                          <w:rPr>
                            <w:rFonts w:ascii="Arial" w:hAnsi="Arial" w:cs="Arial"/>
                          </w:rPr>
                          <w:t xml:space="preserve"> потенциальной опасности, осуществляемой в замкнутых системах».</w:t>
                        </w:r>
                      </w:p>
                      <w:p w:rsidR="00027C8D" w:rsidRPr="00C07340" w:rsidRDefault="00027C8D" w:rsidP="00027C8D">
                        <w:pPr>
                          <w:spacing w:after="120"/>
                          <w:ind w:left="-142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700800" w:rsidRPr="00700800" w:rsidRDefault="007D67AE" w:rsidP="005733E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D67A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3000375" cy="2219325"/>
                              <wp:effectExtent l="19050" t="0" r="9525" b="0"/>
                              <wp:docPr id="1" name="Рисунок 30" descr="https://infoorel.ru/user_foto/news/bbddf615b4fc087590027ca919894f6d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infoorel.ru/user_foto/news/bbddf615b4fc087590027ca919894f6d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1548" cy="22201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10" w:type="dxa"/>
            <w:vMerge w:val="restart"/>
          </w:tcPr>
          <w:p w:rsidR="00DF16DD" w:rsidRPr="007244F5" w:rsidRDefault="00DF16DD" w:rsidP="00027C8D">
            <w:pPr>
              <w:spacing w:before="240" w:after="0" w:line="360" w:lineRule="auto"/>
              <w:ind w:left="-160" w:right="284" w:firstLine="160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95B3D7" w:themeFill="accent1" w:themeFillTint="99"/>
          </w:tcPr>
          <w:p w:rsidR="0062303F" w:rsidRDefault="0062303F" w:rsidP="005733E3">
            <w:pPr>
              <w:spacing w:before="240" w:after="0" w:line="240" w:lineRule="auto"/>
              <w:ind w:left="-283" w:right="284" w:firstLine="283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8577C2">
            <w:pPr>
              <w:spacing w:before="240" w:after="0"/>
              <w:ind w:right="284" w:hanging="141"/>
              <w:rPr>
                <w:rFonts w:ascii="Times New Roman" w:hAnsi="Times New Roman" w:cs="Times New Roman"/>
              </w:rPr>
            </w:pPr>
          </w:p>
          <w:p w:rsidR="0062303F" w:rsidRDefault="00DF16DD" w:rsidP="0062303F">
            <w:pPr>
              <w:spacing w:after="0"/>
              <w:ind w:left="227" w:right="340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118745</wp:posOffset>
                  </wp:positionV>
                  <wp:extent cx="371475" cy="333375"/>
                  <wp:effectExtent l="19050" t="0" r="9525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</w:t>
            </w:r>
            <w:r w:rsidR="0062303F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е Федеральной службы по надзору</w:t>
            </w:r>
          </w:p>
          <w:p w:rsidR="00DF16DD" w:rsidRPr="00A07DDD" w:rsidRDefault="00DF16DD" w:rsidP="0062303F">
            <w:pPr>
              <w:spacing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027C8D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510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733E3" w:rsidRPr="008D2FBB" w:rsidRDefault="005733E3" w:rsidP="00027C8D">
            <w:pPr>
              <w:spacing w:after="0"/>
              <w:ind w:right="113"/>
              <w:jc w:val="center"/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</w:pPr>
            <w:r w:rsidRPr="008D2FBB"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  <w:t>ОСОБЕННОСТИ</w:t>
            </w:r>
          </w:p>
          <w:p w:rsidR="005733E3" w:rsidRPr="008D2FBB" w:rsidRDefault="005733E3" w:rsidP="005733E3">
            <w:pPr>
              <w:spacing w:after="0"/>
              <w:ind w:left="113" w:right="113" w:firstLine="29"/>
              <w:jc w:val="center"/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</w:pPr>
            <w:r w:rsidRPr="008D2FBB"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  <w:t>ПРЕДОСТАВЛЕНИЯ ГОСУДАРСТВЕННЫХ УСЛУГ</w:t>
            </w:r>
          </w:p>
          <w:p w:rsidR="007050CF" w:rsidRPr="008D2FBB" w:rsidRDefault="005733E3" w:rsidP="005733E3">
            <w:pPr>
              <w:spacing w:after="0"/>
              <w:ind w:left="113" w:right="113" w:firstLine="29"/>
              <w:jc w:val="center"/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</w:pPr>
            <w:r w:rsidRPr="008D2FBB">
              <w:rPr>
                <w:rFonts w:ascii="Georgia" w:hAnsi="Georgia" w:cs="Aharoni"/>
                <w:b/>
                <w:bCs/>
                <w:color w:val="0070C0"/>
                <w:sz w:val="32"/>
                <w:szCs w:val="32"/>
              </w:rPr>
              <w:t xml:space="preserve">В ПЕРИОД ПАНДЕМИИ  </w:t>
            </w:r>
          </w:p>
          <w:p w:rsidR="00DF16DD" w:rsidRDefault="00DF16DD" w:rsidP="00075616">
            <w:pPr>
              <w:spacing w:after="0"/>
              <w:ind w:firstLine="709"/>
              <w:rPr>
                <w:color w:val="0070C0"/>
              </w:rPr>
            </w:pPr>
          </w:p>
          <w:p w:rsidR="007050CF" w:rsidRDefault="007050CF" w:rsidP="00075616">
            <w:pPr>
              <w:spacing w:after="0"/>
              <w:rPr>
                <w:color w:val="0070C0"/>
              </w:rPr>
            </w:pPr>
          </w:p>
          <w:p w:rsidR="00DF3FFA" w:rsidRPr="00DF3FFA" w:rsidRDefault="00075616" w:rsidP="00075616">
            <w:pPr>
              <w:spacing w:before="240"/>
              <w:ind w:left="284" w:right="284"/>
              <w:rPr>
                <w:color w:val="0070C0"/>
              </w:rPr>
            </w:pPr>
            <w:r w:rsidRPr="00075616">
              <w:rPr>
                <w:noProof/>
                <w:color w:val="0070C0"/>
                <w:lang w:eastAsia="ru-RU"/>
              </w:rPr>
              <w:drawing>
                <wp:inline distT="0" distB="0" distL="0" distR="0">
                  <wp:extent cx="3038475" cy="1790700"/>
                  <wp:effectExtent l="19050" t="0" r="9525" b="0"/>
                  <wp:docPr id="10" name="Рисунок 7" descr="https://goszakaz.tularegion.ru/upload/iblock/5ad/litsenz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oszakaz.tularegion.ru/upload/iblock/5ad/litsenz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617" w:rsidRPr="00D66151" w:rsidTr="006028AD">
        <w:trPr>
          <w:trHeight w:val="8557"/>
        </w:trPr>
        <w:tc>
          <w:tcPr>
            <w:tcW w:w="566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Layout w:type="fixed"/>
              <w:tblLook w:val="0000"/>
            </w:tblPr>
            <w:tblGrid>
              <w:gridCol w:w="4932"/>
            </w:tblGrid>
            <w:tr w:rsidR="00F67617" w:rsidRPr="009F0582" w:rsidTr="00D553B5">
              <w:trPr>
                <w:trHeight w:val="10764"/>
              </w:trPr>
              <w:tc>
                <w:tcPr>
                  <w:tcW w:w="4932" w:type="dxa"/>
                  <w:shd w:val="clear" w:color="auto" w:fill="auto"/>
                </w:tcPr>
                <w:p w:rsidR="00F67617" w:rsidRPr="009F0582" w:rsidRDefault="00F67617" w:rsidP="00D553B5">
                  <w:pPr>
                    <w:pStyle w:val="2"/>
                    <w:spacing w:before="0"/>
                  </w:pPr>
                </w:p>
                <w:p w:rsidR="00F67617" w:rsidRPr="009F0582" w:rsidRDefault="00F67617" w:rsidP="00D553B5">
                  <w:pPr>
                    <w:pStyle w:val="a3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9F0582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847975" cy="1352550"/>
                        <wp:effectExtent l="19050" t="0" r="9525" b="0"/>
                        <wp:docPr id="2" name="Рисунок 13" descr="https://avatars.mds.yandex.net/get-zen-pub-og/1729983/pub_5e9ca6e597c2995b763d1942_5e9cb3a8d52a6167512f45ad/f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avatars.mds.yandex.net/get-zen-pub-og/1729983/pub_5e9ca6e597c2995b763d1942_5e9cb3a8d52a6167512f45ad/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l="6256" r="9213" b="35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35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617" w:rsidRPr="00FF2940" w:rsidRDefault="00F67617" w:rsidP="00D553B5">
                  <w:pPr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</w:rPr>
                  </w:pPr>
                </w:p>
                <w:p w:rsidR="00F67617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bookmarkStart w:id="1" w:name="sub_1"/>
                  <w:r w:rsidRPr="008766F5">
                    <w:rPr>
                      <w:rFonts w:ascii="Arial" w:hAnsi="Arial" w:cs="Arial"/>
                    </w:rPr>
                    <w:t xml:space="preserve">Продлевается действие срочных лицензий и иных разрешений по перечню срочных лицензий и иных разрешений, предусмотренных </w:t>
                  </w:r>
                  <w:hyperlink w:anchor="sub_1000" w:history="1">
                    <w:r w:rsidRPr="008766F5">
                      <w:rPr>
                        <w:rFonts w:ascii="Arial" w:hAnsi="Arial" w:cs="Arial"/>
                      </w:rPr>
                      <w:t>приложением № 1</w:t>
                    </w:r>
                  </w:hyperlink>
                  <w:r w:rsidRPr="008766F5">
                    <w:rPr>
                      <w:rFonts w:ascii="Arial" w:hAnsi="Arial" w:cs="Arial"/>
                    </w:rPr>
                    <w:t xml:space="preserve"> к постановлению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году», </w:t>
                  </w:r>
                  <w:proofErr w:type="gramStart"/>
                  <w:r w:rsidRPr="008766F5">
                    <w:rPr>
                      <w:rFonts w:ascii="Arial" w:hAnsi="Arial" w:cs="Arial"/>
                    </w:rPr>
                    <w:t>сроки</w:t>
                  </w:r>
                  <w:proofErr w:type="gramEnd"/>
                  <w:r w:rsidRPr="008766F5">
                    <w:rPr>
                      <w:rFonts w:ascii="Arial" w:hAnsi="Arial" w:cs="Arial"/>
                    </w:rPr>
                    <w:t xml:space="preserve"> действия которых истекают (истекли) в период с 15 марта по 31 декабря 2020 г. и действие которых продлевается на 12 месяцев.</w:t>
                  </w:r>
                  <w:bookmarkStart w:id="2" w:name="sub_2"/>
                  <w:bookmarkEnd w:id="1"/>
                </w:p>
                <w:p w:rsidR="00F67617" w:rsidRPr="008766F5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1A1CF7">
                    <w:rPr>
                      <w:rFonts w:ascii="Arial" w:hAnsi="Arial" w:cs="Arial"/>
                    </w:rPr>
                    <w:t>Постановление Правительства Российской Федерации от 03</w:t>
                  </w:r>
                  <w:r>
                    <w:rPr>
                      <w:rFonts w:ascii="Arial" w:hAnsi="Arial" w:cs="Arial"/>
                    </w:rPr>
                    <w:t xml:space="preserve"> апреля 2020 №440 вступило в силу </w:t>
                  </w:r>
                  <w:r w:rsidRPr="001A1CF7">
                    <w:rPr>
                      <w:rFonts w:ascii="Arial" w:hAnsi="Arial" w:cs="Arial"/>
                    </w:rPr>
                    <w:t>6 апреля 2020 года.</w:t>
                  </w:r>
                </w:p>
                <w:p w:rsidR="00F67617" w:rsidRPr="00083590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8766F5">
                    <w:rPr>
                      <w:rFonts w:ascii="Arial" w:hAnsi="Arial" w:cs="Arial"/>
                    </w:rPr>
                    <w:t xml:space="preserve">Выездные проверки соискателей лицензии, лицензиатов, проведение которых является обязательным в соответствии с Федеральным законом «О лицензировании отдельных видов деятельности», а также выездные проверочные мероприятия, необходимые для получения, переоформления, продления действия разрешений, проводятся посредством </w:t>
                  </w:r>
                  <w:bookmarkEnd w:id="2"/>
                  <w:r w:rsidRPr="008766F5">
                    <w:rPr>
                      <w:rFonts w:ascii="Arial" w:hAnsi="Arial" w:cs="Arial"/>
                    </w:rPr>
                    <w:t>использования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8766F5">
                    <w:rPr>
                      <w:rFonts w:ascii="Arial" w:hAnsi="Arial" w:cs="Arial"/>
                    </w:rPr>
                    <w:t xml:space="preserve"> дистанционных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8766F5">
                    <w:rPr>
                      <w:rFonts w:ascii="Arial" w:hAnsi="Arial" w:cs="Arial"/>
                    </w:rPr>
                    <w:t>средств</w:t>
                  </w:r>
                </w:p>
              </w:tc>
            </w:tr>
          </w:tbl>
          <w:p w:rsidR="00F67617" w:rsidRPr="009F0582" w:rsidRDefault="00F67617" w:rsidP="00D553B5">
            <w:pPr>
              <w:autoSpaceDE w:val="0"/>
              <w:autoSpaceDN w:val="0"/>
              <w:adjustRightInd w:val="0"/>
              <w:spacing w:before="600" w:after="0" w:line="240" w:lineRule="auto"/>
              <w:ind w:right="284" w:firstLine="284"/>
              <w:rPr>
                <w:rFonts w:ascii="Arial" w:hAnsi="Arial" w:cs="Arial"/>
              </w:rPr>
            </w:pPr>
          </w:p>
        </w:tc>
        <w:tc>
          <w:tcPr>
            <w:tcW w:w="5510" w:type="dxa"/>
          </w:tcPr>
          <w:tbl>
            <w:tblPr>
              <w:tblpPr w:leftFromText="180" w:rightFromText="180" w:vertAnchor="page" w:horzAnchor="margin" w:tblpXSpec="center" w:tblpY="421"/>
              <w:tblOverlap w:val="never"/>
              <w:tblW w:w="0" w:type="auto"/>
              <w:tblLayout w:type="fixed"/>
              <w:tblLook w:val="0000"/>
            </w:tblPr>
            <w:tblGrid>
              <w:gridCol w:w="4773"/>
            </w:tblGrid>
            <w:tr w:rsidR="00F67617" w:rsidRPr="00CB603C" w:rsidTr="00D553B5">
              <w:trPr>
                <w:trHeight w:val="527"/>
              </w:trPr>
              <w:tc>
                <w:tcPr>
                  <w:tcW w:w="4773" w:type="dxa"/>
                  <w:shd w:val="clear" w:color="auto" w:fill="auto"/>
                </w:tcPr>
                <w:p w:rsidR="00F67617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bookmarkStart w:id="3" w:name="sub_17"/>
                  <w:r w:rsidRPr="008766F5">
                    <w:rPr>
                      <w:rFonts w:ascii="Arial" w:hAnsi="Arial" w:cs="Arial"/>
                    </w:rPr>
                    <w:t xml:space="preserve">контроля,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766F5">
                    <w:rPr>
                      <w:rFonts w:ascii="Arial" w:hAnsi="Arial" w:cs="Arial"/>
                    </w:rPr>
                    <w:t xml:space="preserve">средств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766F5">
                    <w:rPr>
                      <w:rFonts w:ascii="Arial" w:hAnsi="Arial" w:cs="Arial"/>
                    </w:rPr>
                    <w:t>фот</w:t>
                  </w:r>
                  <w:proofErr w:type="gramStart"/>
                  <w:r w:rsidRPr="008766F5">
                    <w:rPr>
                      <w:rFonts w:ascii="Arial" w:hAnsi="Arial" w:cs="Arial"/>
                    </w:rPr>
                    <w:t>о-</w:t>
                  </w:r>
                  <w:proofErr w:type="gramEnd"/>
                  <w:r w:rsidRPr="008766F5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766F5">
                    <w:rPr>
                      <w:rFonts w:ascii="Arial" w:hAnsi="Arial" w:cs="Arial"/>
                    </w:rPr>
                    <w:t xml:space="preserve"> аудио-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766F5">
                    <w:rPr>
                      <w:rFonts w:ascii="Arial" w:hAnsi="Arial" w:cs="Arial"/>
                    </w:rPr>
                    <w:t xml:space="preserve">и </w:t>
                  </w:r>
                  <w:r>
                    <w:rPr>
                      <w:rFonts w:ascii="Arial" w:hAnsi="Arial" w:cs="Arial"/>
                    </w:rPr>
                    <w:t xml:space="preserve"> видео-</w:t>
                  </w:r>
                  <w:r w:rsidRPr="001A1CF7">
                    <w:rPr>
                      <w:rFonts w:ascii="Arial" w:hAnsi="Arial" w:cs="Arial"/>
                    </w:rPr>
                    <w:t xml:space="preserve">фиксации, </w:t>
                  </w:r>
                  <w:proofErr w:type="spellStart"/>
                  <w:r w:rsidRPr="001A1CF7">
                    <w:rPr>
                      <w:rFonts w:ascii="Arial" w:hAnsi="Arial" w:cs="Arial"/>
                    </w:rPr>
                    <w:t>видео-конференц-связи</w:t>
                  </w:r>
                  <w:proofErr w:type="spellEnd"/>
                  <w:r w:rsidRPr="001A1CF7">
                    <w:rPr>
                      <w:rFonts w:ascii="Arial" w:hAnsi="Arial" w:cs="Arial"/>
                    </w:rPr>
                    <w:t>.</w:t>
                  </w:r>
                </w:p>
                <w:p w:rsidR="00F67617" w:rsidRPr="00EA7254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1A1CF7">
                    <w:rPr>
                      <w:rFonts w:ascii="Arial" w:hAnsi="Arial" w:cs="Arial"/>
                    </w:rPr>
                    <w:t xml:space="preserve">В исключительных случаях, когда установление    соответствия   соискателей </w:t>
                  </w:r>
                  <w:r>
                    <w:rPr>
                      <w:rFonts w:ascii="Arial" w:hAnsi="Arial" w:cs="Arial"/>
                    </w:rPr>
                    <w:t>лицензии,    лицензиатов</w:t>
                  </w:r>
                  <w:r w:rsidRPr="00901547">
                    <w:rPr>
                      <w:rFonts w:ascii="Arial" w:hAnsi="Arial" w:cs="Arial"/>
                    </w:rPr>
                    <w:t xml:space="preserve">     лицензионным </w:t>
                  </w:r>
                  <w:r>
                    <w:rPr>
                      <w:rFonts w:ascii="Arial" w:hAnsi="Arial" w:cs="Arial"/>
                    </w:rPr>
                    <w:t xml:space="preserve">требованиям посредством </w:t>
                  </w:r>
                  <w:r w:rsidRPr="00EA7254">
                    <w:rPr>
                      <w:rFonts w:ascii="Arial" w:hAnsi="Arial" w:cs="Arial"/>
                    </w:rPr>
                    <w:t>дистанционных средств контроля, средств</w:t>
                  </w:r>
                  <w:r w:rsidRPr="00063EC1">
                    <w:rPr>
                      <w:rFonts w:ascii="Arial" w:hAnsi="Arial" w:cs="Arial"/>
                    </w:rPr>
                    <w:t xml:space="preserve"> </w:t>
                  </w:r>
                  <w:r w:rsidRPr="00EA7254">
                    <w:rPr>
                      <w:rFonts w:ascii="Arial" w:hAnsi="Arial" w:cs="Arial"/>
                    </w:rPr>
                    <w:t>фото-, ауди</w:t>
                  </w:r>
                  <w:proofErr w:type="gramStart"/>
                  <w:r w:rsidRPr="00EA7254">
                    <w:rPr>
                      <w:rFonts w:ascii="Arial" w:hAnsi="Arial" w:cs="Arial"/>
                    </w:rPr>
                    <w:t>о-</w:t>
                  </w:r>
                  <w:proofErr w:type="gramEnd"/>
                  <w:r w:rsidRPr="00EA7254"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 w:rsidRPr="00EA7254">
                    <w:rPr>
                      <w:rFonts w:ascii="Arial" w:hAnsi="Arial" w:cs="Arial"/>
                    </w:rPr>
                    <w:t>видеофиксации</w:t>
                  </w:r>
                  <w:proofErr w:type="spellEnd"/>
                  <w:r w:rsidRPr="00EA7254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EA7254">
                    <w:rPr>
                      <w:rFonts w:ascii="Arial" w:hAnsi="Arial" w:cs="Arial"/>
                    </w:rPr>
                    <w:t>видео-конференц-связи</w:t>
                  </w:r>
                  <w:proofErr w:type="spellEnd"/>
                  <w:r w:rsidRPr="00EA7254">
                    <w:rPr>
                      <w:rFonts w:ascii="Arial" w:hAnsi="Arial" w:cs="Arial"/>
                    </w:rPr>
                    <w:t xml:space="preserve"> невозможно, допускается выезд должностных лиц федеральных органов исполнительной власти, уполномоченных на предоставление лицензии.</w:t>
                  </w:r>
                </w:p>
                <w:p w:rsidR="00F67617" w:rsidRPr="008766F5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Решение о проведении выездной проверки на соответствие лицензионным требованиям  </w:t>
                  </w:r>
                  <w:r w:rsidRPr="008766F5">
                    <w:rPr>
                      <w:rFonts w:ascii="Arial" w:hAnsi="Arial" w:cs="Arial"/>
                    </w:rPr>
                    <w:t>может б</w:t>
                  </w:r>
                  <w:r>
                    <w:rPr>
                      <w:rFonts w:ascii="Arial" w:hAnsi="Arial" w:cs="Arial"/>
                    </w:rPr>
                    <w:t xml:space="preserve">ыть принято </w:t>
                  </w:r>
                  <w:r w:rsidRPr="008766F5">
                    <w:rPr>
                      <w:rFonts w:ascii="Arial" w:hAnsi="Arial" w:cs="Arial"/>
                    </w:rPr>
                    <w:t xml:space="preserve">должностными лицами территориальных органов Федеральной службы по надзору в сфере защиты прав потребителей и благополучия человека </w:t>
                  </w:r>
                  <w:r>
                    <w:rPr>
                      <w:rFonts w:ascii="Arial" w:hAnsi="Arial" w:cs="Arial"/>
                    </w:rPr>
                    <w:t xml:space="preserve">только </w:t>
                  </w:r>
                  <w:r w:rsidRPr="008766F5">
                    <w:rPr>
                      <w:rFonts w:ascii="Arial" w:hAnsi="Arial" w:cs="Arial"/>
                    </w:rPr>
                    <w:t>в отношении соискателей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8766F5">
                    <w:rPr>
                      <w:rFonts w:ascii="Arial" w:hAnsi="Arial" w:cs="Arial"/>
                    </w:rPr>
                    <w:t>инженерно-модифицированных организмов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766F5">
                    <w:rPr>
                      <w:rFonts w:ascii="Arial" w:hAnsi="Arial" w:cs="Arial"/>
                    </w:rPr>
                    <w:t xml:space="preserve">III и IV степеней потенциальной опасности, осуществляемой в замкнутых системах. </w:t>
                  </w:r>
                </w:p>
                <w:bookmarkEnd w:id="3"/>
                <w:p w:rsidR="00F67617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>
                    <w:t xml:space="preserve">В </w:t>
                  </w:r>
                  <w:r w:rsidRPr="00644929">
                    <w:rPr>
                      <w:rFonts w:ascii="Arial" w:hAnsi="Arial" w:cs="Arial"/>
                    </w:rPr>
                    <w:t>отношении лицензий на деятельность в области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44929">
                    <w:rPr>
                      <w:rFonts w:ascii="Arial" w:hAnsi="Arial" w:cs="Arial"/>
                    </w:rPr>
                    <w:t>использования источников ионизирующего излучения (генерирующих)</w:t>
                  </w:r>
                </w:p>
                <w:p w:rsidR="00F67617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(</w:t>
                  </w:r>
                  <w:r w:rsidRPr="00644929">
                    <w:rPr>
                      <w:rFonts w:ascii="Arial" w:hAnsi="Arial" w:cs="Arial"/>
                    </w:rPr>
                    <w:t>за исключением случая, если эти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44929">
                    <w:rPr>
                      <w:rFonts w:ascii="Arial" w:hAnsi="Arial" w:cs="Arial"/>
                    </w:rPr>
                    <w:t>источники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4492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44929">
                    <w:rPr>
                      <w:rFonts w:ascii="Arial" w:hAnsi="Arial" w:cs="Arial"/>
                    </w:rPr>
                    <w:t xml:space="preserve">используются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644929">
                    <w:rPr>
                      <w:rFonts w:ascii="Arial" w:hAnsi="Arial" w:cs="Arial"/>
                    </w:rPr>
                    <w:t xml:space="preserve">в </w:t>
                  </w:r>
                  <w:r>
                    <w:rPr>
                      <w:rFonts w:ascii="Arial" w:hAnsi="Arial" w:cs="Arial"/>
                    </w:rPr>
                    <w:t xml:space="preserve">  медицинской</w:t>
                  </w:r>
                  <w:proofErr w:type="gramEnd"/>
                </w:p>
                <w:p w:rsidR="00F67617" w:rsidRPr="00083590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 xml:space="preserve">деятельности),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63EC1">
                    <w:rPr>
                      <w:rFonts w:ascii="Arial" w:hAnsi="Arial" w:cs="Arial"/>
                    </w:rPr>
                    <w:t xml:space="preserve">а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3EC1">
                    <w:rPr>
                      <w:rFonts w:ascii="Arial" w:hAnsi="Arial" w:cs="Arial"/>
                    </w:rPr>
                    <w:t>также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3EC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3EC1">
                    <w:rPr>
                      <w:rFonts w:ascii="Arial" w:hAnsi="Arial" w:cs="Arial"/>
                    </w:rPr>
                    <w:t xml:space="preserve">на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3EC1">
                    <w:rPr>
                      <w:rFonts w:ascii="Arial" w:hAnsi="Arial" w:cs="Arial"/>
                    </w:rPr>
                    <w:t>деятельность</w:t>
                  </w:r>
                </w:p>
              </w:tc>
            </w:tr>
          </w:tbl>
          <w:p w:rsidR="00F67617" w:rsidRPr="007244F5" w:rsidRDefault="00F67617" w:rsidP="00D553B5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F67617" w:rsidRDefault="00F67617" w:rsidP="00D553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f1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03"/>
            </w:tblGrid>
            <w:tr w:rsidR="00F67617" w:rsidTr="00D553B5">
              <w:trPr>
                <w:trHeight w:val="8206"/>
              </w:trPr>
              <w:tc>
                <w:tcPr>
                  <w:tcW w:w="4503" w:type="dxa"/>
                </w:tcPr>
                <w:p w:rsidR="00F67617" w:rsidRPr="00063EC1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spacing w:after="24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>в области использования возбудителей инфекционных заболеваний человека  и   животных (за исключением случая, если указанная деятельность осуществляется в медицинских  целях) и генно-</w:t>
                  </w:r>
                  <w:r w:rsidRPr="00027C8D">
                    <w:rPr>
                      <w:rFonts w:ascii="Arial" w:hAnsi="Arial" w:cs="Arial"/>
                      <w:spacing w:val="-16"/>
                    </w:rPr>
                    <w:t>инженерно-модифицированных организмов III и IV степеней</w:t>
                  </w:r>
                  <w:r w:rsidRPr="00063EC1">
                    <w:rPr>
                      <w:rFonts w:ascii="Arial" w:hAnsi="Arial" w:cs="Arial"/>
                    </w:rPr>
                    <w:t xml:space="preserve"> потенциальной опасности, осуществляемой в замкнутых системах в случае:</w:t>
                  </w:r>
                </w:p>
                <w:p w:rsidR="00F67617" w:rsidRDefault="00F67617" w:rsidP="00D553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0" w:firstLine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113DD8">
                    <w:rPr>
                      <w:rFonts w:ascii="Arial" w:hAnsi="Arial" w:cs="Arial"/>
                    </w:rPr>
                    <w:t>изменения мест</w:t>
                  </w:r>
                  <w:r>
                    <w:rPr>
                      <w:rFonts w:ascii="Arial" w:hAnsi="Arial" w:cs="Arial"/>
                    </w:rPr>
                    <w:t>а нахождения юридического лица,</w:t>
                  </w:r>
                </w:p>
                <w:p w:rsidR="00F67617" w:rsidRDefault="00F67617" w:rsidP="00D553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0" w:firstLine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>места жительства индивидуального предпринимателя,</w:t>
                  </w:r>
                </w:p>
                <w:p w:rsidR="00F67617" w:rsidRDefault="00F67617" w:rsidP="00D553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0" w:firstLine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>места осуществления лицензируемого вида деятельности, связанного с переименованием улицы, площади или иной территории, изменением нумерации,</w:t>
                  </w:r>
                </w:p>
                <w:p w:rsidR="00F67617" w:rsidRDefault="00F67617" w:rsidP="00D553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0" w:firstLine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>изменения наименования юридического лица;</w:t>
                  </w:r>
                </w:p>
                <w:p w:rsidR="00F67617" w:rsidRPr="00027C8D" w:rsidRDefault="00F67617" w:rsidP="00D553B5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0" w:firstLine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063EC1">
                    <w:rPr>
                      <w:rFonts w:ascii="Arial" w:hAnsi="Arial" w:cs="Arial"/>
                    </w:rPr>
                    <w:t>реорганизации юридического лица в форме преобразования, слияния или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3EC1">
                    <w:rPr>
                      <w:rFonts w:ascii="Arial" w:hAnsi="Arial" w:cs="Arial"/>
                    </w:rPr>
                    <w:t>присоединения, 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27C8D">
                    <w:rPr>
                      <w:rFonts w:ascii="Arial Black" w:hAnsi="Arial Black" w:cs="Arial"/>
                      <w:color w:val="365F91" w:themeColor="accent1" w:themeShade="BF"/>
                      <w:spacing w:val="-20"/>
                    </w:rPr>
                    <w:t>ПЕРЕОФОРМЛЕНИ</w:t>
                  </w:r>
                  <w:r w:rsidRPr="00027C8D">
                    <w:rPr>
                      <w:rFonts w:ascii="Arial Black" w:hAnsi="Arial Black" w:cs="Arial"/>
                      <w:color w:val="365F91" w:themeColor="accent1" w:themeShade="BF"/>
                    </w:rPr>
                    <w:t>Е ЛИЦЕНЗИИ НЕ ТРЕБУЕТСЯ</w:t>
                  </w:r>
                  <w:r w:rsidRPr="00063EC1">
                    <w:rPr>
                      <w:rFonts w:ascii="Arial Black" w:hAnsi="Arial Black" w:cs="Arial"/>
                      <w:color w:val="365F91" w:themeColor="accent1" w:themeShade="BF"/>
                    </w:rPr>
                    <w:t>.</w:t>
                  </w:r>
                </w:p>
                <w:p w:rsidR="00F67617" w:rsidRPr="00063EC1" w:rsidRDefault="00F67617" w:rsidP="00D553B5">
                  <w:pPr>
                    <w:pStyle w:val="a3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120" w:line="276" w:lineRule="auto"/>
                    <w:ind w:left="34"/>
                    <w:contextualSpacing w:val="0"/>
                    <w:jc w:val="both"/>
                    <w:rPr>
                      <w:rFonts w:ascii="Arial" w:hAnsi="Arial" w:cs="Arial"/>
                    </w:rPr>
                  </w:pPr>
                </w:p>
                <w:p w:rsidR="00F67617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6600CC"/>
                      <w:sz w:val="18"/>
                      <w:szCs w:val="18"/>
                    </w:rPr>
                  </w:pPr>
                  <w:r w:rsidRPr="00712F6C">
                    <w:rPr>
                      <w:rFonts w:ascii="Arial" w:hAnsi="Arial" w:cs="Arial"/>
                      <w:noProof/>
                      <w:color w:val="6600CC"/>
                      <w:sz w:val="18"/>
                      <w:szCs w:val="18"/>
                      <w:bdr w:val="single" w:sz="4" w:space="0" w:color="auto"/>
                      <w:lang w:eastAsia="ru-RU"/>
                    </w:rPr>
                    <w:drawing>
                      <wp:inline distT="0" distB="0" distL="0" distR="0">
                        <wp:extent cx="2666999" cy="1533525"/>
                        <wp:effectExtent l="19050" t="0" r="1" b="0"/>
                        <wp:docPr id="4" name="Рисунок 10" descr="https://forex-brokers.pro/Foto/Forex/Otzyvi/744000/744003_u_sharashki_pod_nazvaniem_rik_global_otsutstvuyut_kakie_by_to_ni_bylo_oficial_nye_dokument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orex-brokers.pro/Foto/Forex/Otzyvi/744000/744003_u_sharashki_pod_nazvaniem_rik_global_otsutstvuyut_kakie_by_to_ni_bylo_oficial_nye_dokument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906" cy="1535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617" w:rsidRPr="0062303F" w:rsidRDefault="00F67617" w:rsidP="00D553B5">
                  <w:pPr>
                    <w:pStyle w:val="a3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6600CC"/>
                      <w:sz w:val="18"/>
                      <w:szCs w:val="18"/>
                    </w:rPr>
                  </w:pPr>
                </w:p>
              </w:tc>
            </w:tr>
          </w:tbl>
          <w:p w:rsidR="00F67617" w:rsidRPr="000922E4" w:rsidRDefault="00F67617" w:rsidP="00D553B5">
            <w:pPr>
              <w:pStyle w:val="a3"/>
              <w:spacing w:before="240" w:after="100" w:afterAutospacing="1" w:line="480" w:lineRule="auto"/>
              <w:ind w:left="454" w:right="567"/>
              <w:jc w:val="center"/>
              <w:rPr>
                <w:rFonts w:ascii="Arial" w:hAnsi="Arial" w:cs="Arial"/>
                <w:b/>
                <w:color w:val="6600CC"/>
                <w:sz w:val="23"/>
              </w:rPr>
            </w:pPr>
          </w:p>
        </w:tc>
      </w:tr>
    </w:tbl>
    <w:p w:rsidR="00054D32" w:rsidRPr="00F67617" w:rsidRDefault="00054D32" w:rsidP="00F67617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  <w:sz w:val="2"/>
          <w:szCs w:val="2"/>
        </w:rPr>
      </w:pPr>
    </w:p>
    <w:sectPr w:rsidR="00054D32" w:rsidRPr="00F67617" w:rsidSect="0062303F">
      <w:pgSz w:w="16838" w:h="11906" w:orient="landscape" w:code="9"/>
      <w:pgMar w:top="0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B1" w:rsidRDefault="00D73DB1" w:rsidP="00BA24CC">
      <w:pPr>
        <w:spacing w:after="0" w:line="240" w:lineRule="auto"/>
      </w:pPr>
      <w:r>
        <w:separator/>
      </w:r>
    </w:p>
  </w:endnote>
  <w:endnote w:type="continuationSeparator" w:id="0">
    <w:p w:rsidR="00D73DB1" w:rsidRDefault="00D73DB1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B1" w:rsidRDefault="00D73DB1" w:rsidP="00BA24CC">
      <w:pPr>
        <w:spacing w:after="0" w:line="240" w:lineRule="auto"/>
      </w:pPr>
      <w:r>
        <w:separator/>
      </w:r>
    </w:p>
  </w:footnote>
  <w:footnote w:type="continuationSeparator" w:id="0">
    <w:p w:rsidR="00D73DB1" w:rsidRDefault="00D73DB1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9pt;height:8.9pt;visibility:visible" o:bullet="t">
        <v:imagedata r:id="rId1" o:title=""/>
      </v:shape>
    </w:pict>
  </w:numPicBullet>
  <w:numPicBullet w:numPicBulletId="1">
    <w:pict>
      <v:shape id="_x0000_i1043" type="#_x0000_t75" style="width:9.8pt;height:9.8pt;visibility:visible" o:bullet="t">
        <v:imagedata r:id="rId2" o:title="BD21298_"/>
      </v:shape>
    </w:pict>
  </w:numPicBullet>
  <w:numPicBullet w:numPicBulletId="2">
    <w:pict>
      <v:shape id="_x0000_i1044" type="#_x0000_t75" style="width:11.55pt;height:9.8pt;visibility:visible" o:bullet="t">
        <v:imagedata r:id="rId3" o:title="BD21300_"/>
      </v:shape>
    </w:pict>
  </w:numPicBullet>
  <w:numPicBullet w:numPicBulletId="3">
    <w:pict>
      <v:shape id="_x0000_i1045" type="#_x0000_t75" style="width:9.8pt;height:9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046" type="#_x0000_t75" style="width:9.8pt;height:9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047" type="#_x0000_t75" style="width:8.9pt;height:8.9pt;visibility:visible" o:bullet="t">
        <v:imagedata r:id="rId6" o:title="BD10267_"/>
      </v:shape>
    </w:pict>
  </w:numPicBullet>
  <w:numPicBullet w:numPicBulletId="6">
    <w:pict>
      <v:shape id="_x0000_i1048" type="#_x0000_t75" style="width:13.35pt;height:12.45pt;visibility:visible" o:bullet="t">
        <v:imagedata r:id="rId7" o:title=""/>
      </v:shape>
    </w:pict>
  </w:numPicBullet>
  <w:numPicBullet w:numPicBulletId="7">
    <w:pict>
      <v:shape id="_x0000_i1049" type="#_x0000_t75" style="width:11.55pt;height:9.8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050" type="#_x0000_t75" style="width:9.8pt;height:9.8pt;visibility:visible;mso-wrap-style:square" o:bullet="t">
        <v:imagedata r:id="rId9" o:title=""/>
      </v:shape>
    </w:pict>
  </w:numPicBullet>
  <w:numPicBullet w:numPicBulletId="9">
    <w:pict>
      <v:shape id="_x0000_i1051" type="#_x0000_t75" style="width:10.65pt;height:10.65pt;visibility:visible;mso-wrap-style:square" o:bullet="t">
        <v:imagedata r:id="rId10" o:title=""/>
      </v:shape>
    </w:pict>
  </w:numPicBullet>
  <w:numPicBullet w:numPicBulletId="10">
    <w:pict>
      <v:shape id="_x0000_i1052" type="#_x0000_t75" style="width:9.8pt;height:9.8pt" o:bullet="t">
        <v:imagedata r:id="rId11" o:title="BD21298_"/>
      </v:shape>
    </w:pict>
  </w:numPicBullet>
  <w:numPicBullet w:numPicBulletId="11">
    <w:pict>
      <v:shape id="_x0000_i1053" type="#_x0000_t75" style="width:8.9pt;height:8.9pt" o:bullet="t">
        <v:imagedata r:id="rId12" o:title="BD10268_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37F8"/>
    <w:multiLevelType w:val="hybridMultilevel"/>
    <w:tmpl w:val="EE7210AA"/>
    <w:lvl w:ilvl="0" w:tplc="92DED4EA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6C2002"/>
    <w:multiLevelType w:val="hybridMultilevel"/>
    <w:tmpl w:val="DC704258"/>
    <w:lvl w:ilvl="0" w:tplc="69E4C992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63A49"/>
    <w:multiLevelType w:val="hybridMultilevel"/>
    <w:tmpl w:val="5EAA0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D368E"/>
    <w:multiLevelType w:val="hybridMultilevel"/>
    <w:tmpl w:val="23584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635B09"/>
    <w:multiLevelType w:val="hybridMultilevel"/>
    <w:tmpl w:val="F386EA38"/>
    <w:lvl w:ilvl="0" w:tplc="92DED4EA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22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0"/>
  </w:num>
  <w:num w:numId="5">
    <w:abstractNumId w:val="24"/>
  </w:num>
  <w:num w:numId="6">
    <w:abstractNumId w:val="1"/>
  </w:num>
  <w:num w:numId="7">
    <w:abstractNumId w:val="3"/>
  </w:num>
  <w:num w:numId="8">
    <w:abstractNumId w:val="25"/>
  </w:num>
  <w:num w:numId="9">
    <w:abstractNumId w:val="12"/>
  </w:num>
  <w:num w:numId="10">
    <w:abstractNumId w:val="11"/>
  </w:num>
  <w:num w:numId="11">
    <w:abstractNumId w:val="14"/>
  </w:num>
  <w:num w:numId="12">
    <w:abstractNumId w:val="23"/>
  </w:num>
  <w:num w:numId="13">
    <w:abstractNumId w:val="9"/>
  </w:num>
  <w:num w:numId="14">
    <w:abstractNumId w:val="21"/>
  </w:num>
  <w:num w:numId="15">
    <w:abstractNumId w:val="26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4"/>
  </w:num>
  <w:num w:numId="23">
    <w:abstractNumId w:val="7"/>
  </w:num>
  <w:num w:numId="24">
    <w:abstractNumId w:val="6"/>
  </w:num>
  <w:num w:numId="25">
    <w:abstractNumId w:val="15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BD"/>
    <w:rsid w:val="0001238D"/>
    <w:rsid w:val="00013F4A"/>
    <w:rsid w:val="00017BEC"/>
    <w:rsid w:val="00027C8D"/>
    <w:rsid w:val="00034024"/>
    <w:rsid w:val="00054D32"/>
    <w:rsid w:val="00055131"/>
    <w:rsid w:val="00056300"/>
    <w:rsid w:val="00060592"/>
    <w:rsid w:val="00061909"/>
    <w:rsid w:val="00061CBB"/>
    <w:rsid w:val="00063EC1"/>
    <w:rsid w:val="00075616"/>
    <w:rsid w:val="00083590"/>
    <w:rsid w:val="000922E4"/>
    <w:rsid w:val="000B71DF"/>
    <w:rsid w:val="000B7E03"/>
    <w:rsid w:val="000C093C"/>
    <w:rsid w:val="000D2529"/>
    <w:rsid w:val="000D4713"/>
    <w:rsid w:val="000D47F7"/>
    <w:rsid w:val="000E6735"/>
    <w:rsid w:val="000F6508"/>
    <w:rsid w:val="0010397D"/>
    <w:rsid w:val="00104DC1"/>
    <w:rsid w:val="0011122D"/>
    <w:rsid w:val="00113DD8"/>
    <w:rsid w:val="0012354D"/>
    <w:rsid w:val="001355D6"/>
    <w:rsid w:val="00142714"/>
    <w:rsid w:val="0015688D"/>
    <w:rsid w:val="00157AAD"/>
    <w:rsid w:val="00186A26"/>
    <w:rsid w:val="001960CD"/>
    <w:rsid w:val="001A1CF7"/>
    <w:rsid w:val="001B66F0"/>
    <w:rsid w:val="001C10CA"/>
    <w:rsid w:val="001D2C7E"/>
    <w:rsid w:val="001E0D38"/>
    <w:rsid w:val="001E5E26"/>
    <w:rsid w:val="001F21B5"/>
    <w:rsid w:val="00214ED8"/>
    <w:rsid w:val="00217749"/>
    <w:rsid w:val="0022109C"/>
    <w:rsid w:val="00230469"/>
    <w:rsid w:val="00242B07"/>
    <w:rsid w:val="0025034D"/>
    <w:rsid w:val="00250B28"/>
    <w:rsid w:val="00255253"/>
    <w:rsid w:val="002645E1"/>
    <w:rsid w:val="002872E0"/>
    <w:rsid w:val="002C048E"/>
    <w:rsid w:val="002D35F5"/>
    <w:rsid w:val="002E016E"/>
    <w:rsid w:val="002E325B"/>
    <w:rsid w:val="0030086A"/>
    <w:rsid w:val="00314AE5"/>
    <w:rsid w:val="003168E9"/>
    <w:rsid w:val="00337E67"/>
    <w:rsid w:val="00340A00"/>
    <w:rsid w:val="00340D77"/>
    <w:rsid w:val="00353E44"/>
    <w:rsid w:val="00362EF1"/>
    <w:rsid w:val="0036521B"/>
    <w:rsid w:val="00372558"/>
    <w:rsid w:val="003748AE"/>
    <w:rsid w:val="00385183"/>
    <w:rsid w:val="003877F2"/>
    <w:rsid w:val="00392812"/>
    <w:rsid w:val="00393D1E"/>
    <w:rsid w:val="00397A5D"/>
    <w:rsid w:val="003A183B"/>
    <w:rsid w:val="003A3260"/>
    <w:rsid w:val="003A419C"/>
    <w:rsid w:val="003B5FBD"/>
    <w:rsid w:val="003F568D"/>
    <w:rsid w:val="004161F1"/>
    <w:rsid w:val="00417FBB"/>
    <w:rsid w:val="0042346B"/>
    <w:rsid w:val="00447616"/>
    <w:rsid w:val="00474FF4"/>
    <w:rsid w:val="004777E2"/>
    <w:rsid w:val="00485993"/>
    <w:rsid w:val="004A0964"/>
    <w:rsid w:val="004B0680"/>
    <w:rsid w:val="004B1CA1"/>
    <w:rsid w:val="004C0E5D"/>
    <w:rsid w:val="004C4061"/>
    <w:rsid w:val="004C78F0"/>
    <w:rsid w:val="004D6F9A"/>
    <w:rsid w:val="004E2632"/>
    <w:rsid w:val="00506BB4"/>
    <w:rsid w:val="00527C22"/>
    <w:rsid w:val="00531C1E"/>
    <w:rsid w:val="00535306"/>
    <w:rsid w:val="00535C73"/>
    <w:rsid w:val="00547B9E"/>
    <w:rsid w:val="00567943"/>
    <w:rsid w:val="005733E3"/>
    <w:rsid w:val="00577023"/>
    <w:rsid w:val="005969C8"/>
    <w:rsid w:val="005A073D"/>
    <w:rsid w:val="005A0FD5"/>
    <w:rsid w:val="005B0BB1"/>
    <w:rsid w:val="005E51C4"/>
    <w:rsid w:val="005F239C"/>
    <w:rsid w:val="0062303F"/>
    <w:rsid w:val="0062337C"/>
    <w:rsid w:val="00630FCA"/>
    <w:rsid w:val="00632A02"/>
    <w:rsid w:val="00633ACE"/>
    <w:rsid w:val="00644929"/>
    <w:rsid w:val="00652FB6"/>
    <w:rsid w:val="00676AB0"/>
    <w:rsid w:val="00682D97"/>
    <w:rsid w:val="006A14D8"/>
    <w:rsid w:val="006A4A8A"/>
    <w:rsid w:val="006B122F"/>
    <w:rsid w:val="006B42F4"/>
    <w:rsid w:val="006C39D2"/>
    <w:rsid w:val="006C7095"/>
    <w:rsid w:val="006D0396"/>
    <w:rsid w:val="00700800"/>
    <w:rsid w:val="00700B96"/>
    <w:rsid w:val="007050CF"/>
    <w:rsid w:val="00712F6C"/>
    <w:rsid w:val="007244F5"/>
    <w:rsid w:val="0073111D"/>
    <w:rsid w:val="00733907"/>
    <w:rsid w:val="00733EAA"/>
    <w:rsid w:val="0077630D"/>
    <w:rsid w:val="007773A7"/>
    <w:rsid w:val="00784234"/>
    <w:rsid w:val="0079357A"/>
    <w:rsid w:val="00795641"/>
    <w:rsid w:val="007B0C09"/>
    <w:rsid w:val="007B1703"/>
    <w:rsid w:val="007D67AE"/>
    <w:rsid w:val="007E0618"/>
    <w:rsid w:val="007E4AB6"/>
    <w:rsid w:val="007F0D54"/>
    <w:rsid w:val="008108D1"/>
    <w:rsid w:val="008110B2"/>
    <w:rsid w:val="00813A19"/>
    <w:rsid w:val="00820397"/>
    <w:rsid w:val="0082336C"/>
    <w:rsid w:val="00824A79"/>
    <w:rsid w:val="00835C8E"/>
    <w:rsid w:val="00835CE3"/>
    <w:rsid w:val="008577C2"/>
    <w:rsid w:val="008664D5"/>
    <w:rsid w:val="008766F5"/>
    <w:rsid w:val="008C4C01"/>
    <w:rsid w:val="008D2FBB"/>
    <w:rsid w:val="008E01BD"/>
    <w:rsid w:val="00901547"/>
    <w:rsid w:val="00902611"/>
    <w:rsid w:val="00904EB5"/>
    <w:rsid w:val="009222F9"/>
    <w:rsid w:val="0094279C"/>
    <w:rsid w:val="009567C9"/>
    <w:rsid w:val="009C431D"/>
    <w:rsid w:val="009D12F3"/>
    <w:rsid w:val="009E4D8C"/>
    <w:rsid w:val="009F0582"/>
    <w:rsid w:val="009F5F3F"/>
    <w:rsid w:val="00A00504"/>
    <w:rsid w:val="00A01798"/>
    <w:rsid w:val="00A07DDD"/>
    <w:rsid w:val="00A11D72"/>
    <w:rsid w:val="00A16532"/>
    <w:rsid w:val="00A355E9"/>
    <w:rsid w:val="00A56779"/>
    <w:rsid w:val="00A574B1"/>
    <w:rsid w:val="00A74AF8"/>
    <w:rsid w:val="00A94DD5"/>
    <w:rsid w:val="00AC078B"/>
    <w:rsid w:val="00AD5BF4"/>
    <w:rsid w:val="00AE2F5F"/>
    <w:rsid w:val="00AE717C"/>
    <w:rsid w:val="00B01059"/>
    <w:rsid w:val="00B120D0"/>
    <w:rsid w:val="00B14A67"/>
    <w:rsid w:val="00B1753F"/>
    <w:rsid w:val="00B21847"/>
    <w:rsid w:val="00B21E7A"/>
    <w:rsid w:val="00B416AB"/>
    <w:rsid w:val="00B42FF0"/>
    <w:rsid w:val="00B5654D"/>
    <w:rsid w:val="00B706DD"/>
    <w:rsid w:val="00B75E3E"/>
    <w:rsid w:val="00B846B5"/>
    <w:rsid w:val="00B95D08"/>
    <w:rsid w:val="00BA24CC"/>
    <w:rsid w:val="00BB2255"/>
    <w:rsid w:val="00BD1AFB"/>
    <w:rsid w:val="00BD6A33"/>
    <w:rsid w:val="00BE0E2E"/>
    <w:rsid w:val="00C06218"/>
    <w:rsid w:val="00C07340"/>
    <w:rsid w:val="00C10CCA"/>
    <w:rsid w:val="00C15D8D"/>
    <w:rsid w:val="00C26400"/>
    <w:rsid w:val="00C3515A"/>
    <w:rsid w:val="00C37BAD"/>
    <w:rsid w:val="00C56675"/>
    <w:rsid w:val="00C61ADF"/>
    <w:rsid w:val="00C9118F"/>
    <w:rsid w:val="00C9521F"/>
    <w:rsid w:val="00CA3D25"/>
    <w:rsid w:val="00CB2DA0"/>
    <w:rsid w:val="00CB5120"/>
    <w:rsid w:val="00CB603C"/>
    <w:rsid w:val="00CC066A"/>
    <w:rsid w:val="00CC3F15"/>
    <w:rsid w:val="00CC58ED"/>
    <w:rsid w:val="00CD6C1F"/>
    <w:rsid w:val="00CF2A6E"/>
    <w:rsid w:val="00CF7306"/>
    <w:rsid w:val="00D026FF"/>
    <w:rsid w:val="00D04A33"/>
    <w:rsid w:val="00D13705"/>
    <w:rsid w:val="00D40B1A"/>
    <w:rsid w:val="00D42C51"/>
    <w:rsid w:val="00D50D65"/>
    <w:rsid w:val="00D64897"/>
    <w:rsid w:val="00D64953"/>
    <w:rsid w:val="00D66151"/>
    <w:rsid w:val="00D736FA"/>
    <w:rsid w:val="00D73DB1"/>
    <w:rsid w:val="00D90018"/>
    <w:rsid w:val="00D9059F"/>
    <w:rsid w:val="00D978CC"/>
    <w:rsid w:val="00DA0F35"/>
    <w:rsid w:val="00DB76D3"/>
    <w:rsid w:val="00DE49CE"/>
    <w:rsid w:val="00DF16DD"/>
    <w:rsid w:val="00DF3FFA"/>
    <w:rsid w:val="00E054B7"/>
    <w:rsid w:val="00E07063"/>
    <w:rsid w:val="00E3605E"/>
    <w:rsid w:val="00E547CB"/>
    <w:rsid w:val="00E62045"/>
    <w:rsid w:val="00E648D1"/>
    <w:rsid w:val="00E660D7"/>
    <w:rsid w:val="00E80E7D"/>
    <w:rsid w:val="00E83976"/>
    <w:rsid w:val="00E876F0"/>
    <w:rsid w:val="00E957AC"/>
    <w:rsid w:val="00EA005F"/>
    <w:rsid w:val="00EA7254"/>
    <w:rsid w:val="00EB6C89"/>
    <w:rsid w:val="00ED5CE0"/>
    <w:rsid w:val="00EE6F57"/>
    <w:rsid w:val="00EF2890"/>
    <w:rsid w:val="00EF2E1C"/>
    <w:rsid w:val="00EF70AE"/>
    <w:rsid w:val="00F0306E"/>
    <w:rsid w:val="00F12816"/>
    <w:rsid w:val="00F253F1"/>
    <w:rsid w:val="00F351F1"/>
    <w:rsid w:val="00F3573F"/>
    <w:rsid w:val="00F4617F"/>
    <w:rsid w:val="00F46EBA"/>
    <w:rsid w:val="00F46F09"/>
    <w:rsid w:val="00F67617"/>
    <w:rsid w:val="00F92312"/>
    <w:rsid w:val="00F972BC"/>
    <w:rsid w:val="00FC46BD"/>
    <w:rsid w:val="00FC5FC6"/>
    <w:rsid w:val="00FD0695"/>
    <w:rsid w:val="00FE66CF"/>
    <w:rsid w:val="00FF2940"/>
    <w:rsid w:val="00FF5D8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96"/>
  </w:style>
  <w:style w:type="paragraph" w:styleId="1">
    <w:name w:val="heading 1"/>
    <w:basedOn w:val="a"/>
    <w:next w:val="a"/>
    <w:link w:val="10"/>
    <w:uiPriority w:val="99"/>
    <w:qFormat/>
    <w:rsid w:val="007311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basedOn w:val="a"/>
    <w:uiPriority w:val="99"/>
    <w:semiHidden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C0504D" w:themeColor="accent2"/>
      <w:u w:val="single"/>
    </w:rPr>
  </w:style>
  <w:style w:type="character" w:customStyle="1" w:styleId="ac">
    <w:name w:val="Гипертекстовая ссылка"/>
    <w:basedOn w:val="a0"/>
    <w:uiPriority w:val="99"/>
    <w:rsid w:val="007244F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F972BC"/>
    <w:rPr>
      <w:color w:val="000000"/>
      <w:shd w:val="clear" w:color="auto" w:fill="C1D7FF"/>
    </w:rPr>
  </w:style>
  <w:style w:type="character" w:styleId="ae">
    <w:name w:val="Hyperlink"/>
    <w:basedOn w:val="a0"/>
    <w:uiPriority w:val="99"/>
    <w:unhideWhenUsed/>
    <w:rsid w:val="009C431D"/>
    <w:rPr>
      <w:color w:val="0000FF" w:themeColor="hyperlink"/>
      <w:u w:val="single"/>
    </w:rPr>
  </w:style>
  <w:style w:type="paragraph" w:customStyle="1" w:styleId="af">
    <w:name w:val="Комментарий"/>
    <w:basedOn w:val="a"/>
    <w:next w:val="a"/>
    <w:uiPriority w:val="99"/>
    <w:rsid w:val="009C43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431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3111D"/>
    <w:rPr>
      <w:rFonts w:ascii="Arial" w:hAnsi="Arial" w:cs="Arial"/>
      <w:b/>
      <w:bCs/>
      <w:color w:val="26282F"/>
      <w:sz w:val="24"/>
      <w:szCs w:val="24"/>
    </w:rPr>
  </w:style>
  <w:style w:type="table" w:styleId="af1">
    <w:name w:val="Table Grid"/>
    <w:basedOn w:val="a1"/>
    <w:uiPriority w:val="59"/>
    <w:rsid w:val="0073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rospotrebnadzor.ru/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10" Type="http://schemas.openxmlformats.org/officeDocument/2006/relationships/image" Target="media/image14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1CDF-5851-43DF-A628-7E9262F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myhome-pc</dc:creator>
  <cp:lastModifiedBy>User</cp:lastModifiedBy>
  <cp:revision>3</cp:revision>
  <cp:lastPrinted>2020-09-17T06:42:00Z</cp:lastPrinted>
  <dcterms:created xsi:type="dcterms:W3CDTF">2020-09-17T06:49:00Z</dcterms:created>
  <dcterms:modified xsi:type="dcterms:W3CDTF">2020-09-18T04:29:00Z</dcterms:modified>
</cp:coreProperties>
</file>